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BF" w:rsidRDefault="009B1ABF"/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9B1ABF" w:rsidTr="009B1ABF">
        <w:tc>
          <w:tcPr>
            <w:tcW w:w="7087" w:type="dxa"/>
          </w:tcPr>
          <w:p w:rsidR="009B1ABF" w:rsidRDefault="009B1ABF">
            <w:r w:rsidRPr="009B1ABF">
              <w:drawing>
                <wp:inline distT="0" distB="0" distL="0" distR="0">
                  <wp:extent cx="2428875" cy="1198158"/>
                  <wp:effectExtent l="19050" t="0" r="0" b="0"/>
                  <wp:docPr id="4" name="Picture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261" cy="1199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9B1ABF" w:rsidRPr="009B1ABF" w:rsidRDefault="009B1ABF">
            <w:pPr>
              <w:rPr>
                <w:b/>
              </w:rPr>
            </w:pPr>
            <w:r w:rsidRPr="009B1ABF">
              <w:rPr>
                <w:b/>
                <w:sz w:val="54"/>
              </w:rPr>
              <w:t>Keep Bank Holidays, Closed days and Weekends Special  - a fair deal for Support staff</w:t>
            </w:r>
          </w:p>
        </w:tc>
      </w:tr>
    </w:tbl>
    <w:p w:rsidR="00073425" w:rsidRPr="00073425" w:rsidRDefault="00073425" w:rsidP="00073425">
      <w:pPr>
        <w:spacing w:after="0"/>
        <w:rPr>
          <w:sz w:val="16"/>
          <w:szCs w:val="16"/>
        </w:rPr>
      </w:pPr>
    </w:p>
    <w:p w:rsidR="00BC7D77" w:rsidRDefault="009B1ABF" w:rsidP="00073425">
      <w:pPr>
        <w:spacing w:after="120"/>
      </w:pPr>
      <w:r>
        <w:t xml:space="preserve">The University are proposing to cut the pay of staff for working bank holidays, closed days and weekends for support staff and making them compulsory for many. New administrative </w:t>
      </w:r>
      <w:proofErr w:type="gramStart"/>
      <w:r>
        <w:t>staff have</w:t>
      </w:r>
      <w:proofErr w:type="gramEnd"/>
      <w:r>
        <w:t xml:space="preserve"> been placed on a contract requiring them to work weekends with no additional pay creating a 2-tier workforce.</w:t>
      </w:r>
    </w:p>
    <w:p w:rsidR="009B1ABF" w:rsidRDefault="009B1ABF" w:rsidP="00073425">
      <w:pPr>
        <w:spacing w:after="120"/>
        <w:rPr>
          <w:b/>
          <w:i/>
        </w:rPr>
      </w:pPr>
      <w:r w:rsidRPr="009B1ABF">
        <w:rPr>
          <w:b/>
          <w:i/>
        </w:rPr>
        <w:t>UNISON Believes that the wellbeing and work life balance of staff are important both to staff and providing an excellent student experience</w:t>
      </w:r>
    </w:p>
    <w:p w:rsidR="009B1ABF" w:rsidRPr="009B1ABF" w:rsidRDefault="009B1ABF" w:rsidP="00073425">
      <w:pPr>
        <w:spacing w:after="0"/>
        <w:rPr>
          <w:b/>
        </w:rPr>
      </w:pPr>
      <w:r w:rsidRPr="009B1ABF">
        <w:rPr>
          <w:b/>
        </w:rPr>
        <w:t>We call on the University to:</w:t>
      </w:r>
    </w:p>
    <w:p w:rsidR="009B1ABF" w:rsidRPr="009B1ABF" w:rsidRDefault="009B1ABF" w:rsidP="0007342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B1ABF">
        <w:rPr>
          <w:b/>
        </w:rPr>
        <w:t>Maintain the current rate of pay for bank holidays and closed days of double time and a day off in lieu and for them to be worked on a voluntary, not compulsory basis</w:t>
      </w:r>
    </w:p>
    <w:p w:rsidR="009B1ABF" w:rsidRPr="009B1ABF" w:rsidRDefault="009B1ABF" w:rsidP="0007342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B1ABF">
        <w:rPr>
          <w:b/>
        </w:rPr>
        <w:t>To not increase the number of weekends staff are required to work</w:t>
      </w:r>
    </w:p>
    <w:p w:rsidR="009B1ABF" w:rsidRPr="009B1ABF" w:rsidRDefault="009B1ABF" w:rsidP="0007342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B1ABF">
        <w:rPr>
          <w:b/>
        </w:rPr>
        <w:t>No further extension of staff working on ‘any 5 day in 7’ contracts and the ending of the 2 tier work force in the College of Social Sciences and elsewhere</w:t>
      </w:r>
    </w:p>
    <w:p w:rsidR="009B1ABF" w:rsidRPr="009B1ABF" w:rsidRDefault="009B1ABF" w:rsidP="0007342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B1ABF">
        <w:rPr>
          <w:b/>
        </w:rPr>
        <w:t>Provide contractual guarantees for staff on annualised hours that protect the health and wellbeing of staff</w:t>
      </w:r>
    </w:p>
    <w:p w:rsidR="009B1ABF" w:rsidRDefault="009B1ABF" w:rsidP="0007342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B1ABF">
        <w:rPr>
          <w:b/>
        </w:rPr>
        <w:t>Ensure staff working late at night have a safe means of transport home</w:t>
      </w:r>
    </w:p>
    <w:tbl>
      <w:tblPr>
        <w:tblStyle w:val="TableGrid"/>
        <w:tblW w:w="0" w:type="auto"/>
        <w:tblLook w:val="04A0"/>
      </w:tblPr>
      <w:tblGrid>
        <w:gridCol w:w="2518"/>
        <w:gridCol w:w="2693"/>
        <w:gridCol w:w="3544"/>
        <w:gridCol w:w="1985"/>
        <w:gridCol w:w="1071"/>
        <w:gridCol w:w="2363"/>
      </w:tblGrid>
      <w:tr w:rsidR="00073425" w:rsidTr="00073425">
        <w:tc>
          <w:tcPr>
            <w:tcW w:w="2518" w:type="dxa"/>
          </w:tcPr>
          <w:p w:rsidR="00073425" w:rsidRDefault="00073425" w:rsidP="00073425">
            <w:pPr>
              <w:rPr>
                <w:b/>
              </w:rPr>
            </w:pPr>
            <w:r>
              <w:rPr>
                <w:b/>
              </w:rPr>
              <w:t>Full Name</w:t>
            </w:r>
          </w:p>
          <w:p w:rsidR="00073425" w:rsidRDefault="00073425" w:rsidP="00073425">
            <w:pPr>
              <w:rPr>
                <w:b/>
              </w:rPr>
            </w:pPr>
            <w:r>
              <w:rPr>
                <w:b/>
              </w:rPr>
              <w:t>(Please Print)</w:t>
            </w:r>
          </w:p>
        </w:tc>
        <w:tc>
          <w:tcPr>
            <w:tcW w:w="2693" w:type="dxa"/>
          </w:tcPr>
          <w:p w:rsidR="00073425" w:rsidRDefault="00073425" w:rsidP="00073425">
            <w:pPr>
              <w:rPr>
                <w:b/>
              </w:rPr>
            </w:pPr>
            <w:r>
              <w:rPr>
                <w:b/>
              </w:rPr>
              <w:t>Department or address</w:t>
            </w:r>
          </w:p>
        </w:tc>
        <w:tc>
          <w:tcPr>
            <w:tcW w:w="3544" w:type="dxa"/>
          </w:tcPr>
          <w:p w:rsidR="00073425" w:rsidRDefault="00073425" w:rsidP="00073425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985" w:type="dxa"/>
          </w:tcPr>
          <w:p w:rsidR="00073425" w:rsidRDefault="00073425" w:rsidP="00073425">
            <w:pPr>
              <w:rPr>
                <w:b/>
              </w:rPr>
            </w:pPr>
            <w:r>
              <w:rPr>
                <w:b/>
              </w:rPr>
              <w:t>Do you work at the University? Y/N</w:t>
            </w:r>
          </w:p>
        </w:tc>
        <w:tc>
          <w:tcPr>
            <w:tcW w:w="1071" w:type="dxa"/>
          </w:tcPr>
          <w:p w:rsidR="00073425" w:rsidRDefault="00073425" w:rsidP="00073425">
            <w:pPr>
              <w:rPr>
                <w:b/>
              </w:rPr>
            </w:pPr>
            <w:r>
              <w:rPr>
                <w:b/>
              </w:rPr>
              <w:t>Trade Union</w:t>
            </w:r>
          </w:p>
        </w:tc>
        <w:tc>
          <w:tcPr>
            <w:tcW w:w="2363" w:type="dxa"/>
          </w:tcPr>
          <w:p w:rsidR="00073425" w:rsidRDefault="00073425" w:rsidP="00073425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073425" w:rsidTr="00073425">
        <w:tc>
          <w:tcPr>
            <w:tcW w:w="2518" w:type="dxa"/>
          </w:tcPr>
          <w:p w:rsidR="00073425" w:rsidRDefault="00073425" w:rsidP="00073425">
            <w:pPr>
              <w:rPr>
                <w:b/>
              </w:rPr>
            </w:pPr>
          </w:p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2693" w:type="dxa"/>
          </w:tcPr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3544" w:type="dxa"/>
          </w:tcPr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1985" w:type="dxa"/>
          </w:tcPr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1071" w:type="dxa"/>
          </w:tcPr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2363" w:type="dxa"/>
          </w:tcPr>
          <w:p w:rsidR="00073425" w:rsidRDefault="00073425" w:rsidP="00073425">
            <w:pPr>
              <w:rPr>
                <w:b/>
              </w:rPr>
            </w:pPr>
          </w:p>
        </w:tc>
      </w:tr>
      <w:tr w:rsidR="00073425" w:rsidTr="00073425">
        <w:tc>
          <w:tcPr>
            <w:tcW w:w="2518" w:type="dxa"/>
          </w:tcPr>
          <w:p w:rsidR="00073425" w:rsidRDefault="00073425" w:rsidP="00073425">
            <w:pPr>
              <w:rPr>
                <w:b/>
              </w:rPr>
            </w:pPr>
          </w:p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2693" w:type="dxa"/>
          </w:tcPr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3544" w:type="dxa"/>
          </w:tcPr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1985" w:type="dxa"/>
          </w:tcPr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1071" w:type="dxa"/>
          </w:tcPr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2363" w:type="dxa"/>
          </w:tcPr>
          <w:p w:rsidR="00073425" w:rsidRDefault="00073425" w:rsidP="00073425">
            <w:pPr>
              <w:rPr>
                <w:b/>
              </w:rPr>
            </w:pPr>
          </w:p>
        </w:tc>
      </w:tr>
      <w:tr w:rsidR="00073425" w:rsidTr="00073425">
        <w:tc>
          <w:tcPr>
            <w:tcW w:w="2518" w:type="dxa"/>
          </w:tcPr>
          <w:p w:rsidR="00073425" w:rsidRDefault="00073425" w:rsidP="00073425">
            <w:pPr>
              <w:rPr>
                <w:b/>
              </w:rPr>
            </w:pPr>
          </w:p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2693" w:type="dxa"/>
          </w:tcPr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3544" w:type="dxa"/>
          </w:tcPr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1985" w:type="dxa"/>
          </w:tcPr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1071" w:type="dxa"/>
          </w:tcPr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2363" w:type="dxa"/>
          </w:tcPr>
          <w:p w:rsidR="00073425" w:rsidRDefault="00073425" w:rsidP="00073425">
            <w:pPr>
              <w:rPr>
                <w:b/>
              </w:rPr>
            </w:pPr>
          </w:p>
        </w:tc>
      </w:tr>
      <w:tr w:rsidR="00073425" w:rsidTr="00073425">
        <w:tc>
          <w:tcPr>
            <w:tcW w:w="2518" w:type="dxa"/>
          </w:tcPr>
          <w:p w:rsidR="00073425" w:rsidRDefault="00073425" w:rsidP="00073425">
            <w:pPr>
              <w:rPr>
                <w:b/>
              </w:rPr>
            </w:pPr>
          </w:p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2693" w:type="dxa"/>
          </w:tcPr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3544" w:type="dxa"/>
          </w:tcPr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1985" w:type="dxa"/>
          </w:tcPr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1071" w:type="dxa"/>
          </w:tcPr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2363" w:type="dxa"/>
          </w:tcPr>
          <w:p w:rsidR="00073425" w:rsidRDefault="00073425" w:rsidP="00073425">
            <w:pPr>
              <w:rPr>
                <w:b/>
              </w:rPr>
            </w:pPr>
          </w:p>
        </w:tc>
      </w:tr>
      <w:tr w:rsidR="00073425" w:rsidTr="00073425">
        <w:tc>
          <w:tcPr>
            <w:tcW w:w="2518" w:type="dxa"/>
          </w:tcPr>
          <w:p w:rsidR="00073425" w:rsidRDefault="00073425" w:rsidP="00073425">
            <w:pPr>
              <w:rPr>
                <w:b/>
              </w:rPr>
            </w:pPr>
          </w:p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2693" w:type="dxa"/>
          </w:tcPr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3544" w:type="dxa"/>
          </w:tcPr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1985" w:type="dxa"/>
          </w:tcPr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1071" w:type="dxa"/>
          </w:tcPr>
          <w:p w:rsidR="00073425" w:rsidRDefault="00073425" w:rsidP="00073425">
            <w:pPr>
              <w:rPr>
                <w:b/>
              </w:rPr>
            </w:pPr>
          </w:p>
        </w:tc>
        <w:tc>
          <w:tcPr>
            <w:tcW w:w="2363" w:type="dxa"/>
          </w:tcPr>
          <w:p w:rsidR="00073425" w:rsidRDefault="00073425" w:rsidP="00073425">
            <w:pPr>
              <w:rPr>
                <w:b/>
              </w:rPr>
            </w:pPr>
          </w:p>
        </w:tc>
      </w:tr>
    </w:tbl>
    <w:p w:rsidR="00073425" w:rsidRPr="00073425" w:rsidRDefault="00073425" w:rsidP="00073425">
      <w:pPr>
        <w:spacing w:after="0"/>
        <w:jc w:val="center"/>
        <w:rPr>
          <w:b/>
        </w:rPr>
      </w:pPr>
      <w:r>
        <w:rPr>
          <w:b/>
        </w:rPr>
        <w:t>Return to Matthew Raine, Secretary, UNISON, C/o School of Education</w:t>
      </w:r>
    </w:p>
    <w:sectPr w:rsidR="00073425" w:rsidRPr="00073425" w:rsidSect="00073425">
      <w:pgSz w:w="16838" w:h="11906" w:orient="landscape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7163"/>
    <w:multiLevelType w:val="hybridMultilevel"/>
    <w:tmpl w:val="886C1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1ABF"/>
    <w:rsid w:val="00073425"/>
    <w:rsid w:val="000763F2"/>
    <w:rsid w:val="0021279E"/>
    <w:rsid w:val="003C4F5D"/>
    <w:rsid w:val="00437B87"/>
    <w:rsid w:val="00680493"/>
    <w:rsid w:val="006C61FB"/>
    <w:rsid w:val="006E16AB"/>
    <w:rsid w:val="007040D7"/>
    <w:rsid w:val="007C6BF8"/>
    <w:rsid w:val="00853761"/>
    <w:rsid w:val="009B1ABF"/>
    <w:rsid w:val="00A3382E"/>
    <w:rsid w:val="00AB28CD"/>
    <w:rsid w:val="00BC7D77"/>
    <w:rsid w:val="00C3780A"/>
    <w:rsid w:val="00CD016D"/>
    <w:rsid w:val="00DC2030"/>
    <w:rsid w:val="00DE75A9"/>
    <w:rsid w:val="00E2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1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Rainemj</dc:creator>
  <cp:keywords/>
  <dc:description/>
  <cp:lastModifiedBy>Rainemj</cp:lastModifiedBy>
  <cp:revision>2</cp:revision>
  <dcterms:created xsi:type="dcterms:W3CDTF">2012-10-09T16:13:00Z</dcterms:created>
  <dcterms:modified xsi:type="dcterms:W3CDTF">2012-10-09T16:30:00Z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574926991</vt:i4>
  </property>
  <property fmtid="{D5CDD505-2E9C-101B-9397-08002B2CF9AE}" pid="3" name="_NewReviewCycle">
    <vt:lpwstr/>
  </property>
  <property fmtid="{D5CDD505-2E9C-101B-9397-08002B2CF9AE}" pid="4" name="_EmailSubject">
    <vt:lpwstr>email to members</vt:lpwstr>
  </property>
  <property fmtid="{D5CDD505-2E9C-101B-9397-08002B2CF9AE}" pid="5" name="_AuthorEmail">
    <vt:lpwstr>rainemj@adf.bham.ac.uk</vt:lpwstr>
  </property>
  <property fmtid="{D5CDD505-2E9C-101B-9397-08002B2CF9AE}" pid="6" name="_AuthorEmailDisplayName">
    <vt:lpwstr>Matthew Raine</vt:lpwstr>
  </property>
</Properties>
</file>